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30" w:rsidRPr="00680B61" w:rsidRDefault="00215C21" w:rsidP="00916F30">
      <w:pPr>
        <w:pStyle w:val="Ttulo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5pt;margin-top:-55.2pt;width:57.35pt;height:54pt;z-index:251657728;mso-wrap-edited:f" wrapcoords="-174 0 -174 21415 21600 21415 21600 0 -174 0">
            <v:imagedata r:id="rId6" o:title=""/>
            <w10:wrap type="topAndBottom"/>
          </v:shape>
          <o:OLEObject Type="Embed" ProgID="PBrush" ShapeID="_x0000_s1026" DrawAspect="Content" ObjectID="_1427010295" r:id="rId7"/>
        </w:pict>
      </w:r>
      <w:r w:rsidR="00916F30" w:rsidRPr="00680B61">
        <w:t>MINISTÉRIO DA EDUCAÇÃO</w:t>
      </w:r>
    </w:p>
    <w:p w:rsidR="00916F30" w:rsidRPr="00680B61" w:rsidRDefault="00916F30" w:rsidP="00916F30">
      <w:pPr>
        <w:jc w:val="center"/>
        <w:rPr>
          <w:b/>
          <w:bCs/>
        </w:rPr>
      </w:pPr>
      <w:r w:rsidRPr="00680B61">
        <w:rPr>
          <w:b/>
          <w:bCs/>
        </w:rPr>
        <w:t>UNIVERSIDADE FEDERAL DO PIAUÍ</w:t>
      </w:r>
    </w:p>
    <w:p w:rsidR="00916F30" w:rsidRPr="00680B61" w:rsidRDefault="00A57C41" w:rsidP="00916F30">
      <w:pPr>
        <w:jc w:val="center"/>
        <w:rPr>
          <w:b/>
          <w:bCs/>
        </w:rPr>
      </w:pPr>
      <w:r>
        <w:rPr>
          <w:b/>
          <w:bCs/>
        </w:rPr>
        <w:t>PRÓ-REITORIA DE ENSINO DE GRADUAÇÃO</w:t>
      </w:r>
    </w:p>
    <w:p w:rsidR="00916F30" w:rsidRPr="00680B61" w:rsidRDefault="00A57C41" w:rsidP="00916F30">
      <w:pPr>
        <w:jc w:val="center"/>
        <w:rPr>
          <w:b/>
          <w:bCs/>
        </w:rPr>
      </w:pPr>
      <w:r>
        <w:rPr>
          <w:b/>
          <w:bCs/>
        </w:rPr>
        <w:t xml:space="preserve">COLÉGIO TÉCNICO </w:t>
      </w:r>
      <w:r w:rsidR="00916F30" w:rsidRPr="00680B61">
        <w:rPr>
          <w:b/>
          <w:bCs/>
        </w:rPr>
        <w:t>DE BOM JESUS</w:t>
      </w:r>
    </w:p>
    <w:p w:rsidR="00EE40A2" w:rsidRPr="00680B61" w:rsidRDefault="00EE40A2" w:rsidP="00916F30">
      <w:pPr>
        <w:jc w:val="center"/>
        <w:rPr>
          <w:b/>
          <w:bCs/>
        </w:rPr>
      </w:pPr>
    </w:p>
    <w:p w:rsidR="00916F30" w:rsidRPr="00680B61" w:rsidRDefault="00916F30" w:rsidP="00916F30">
      <w:pPr>
        <w:jc w:val="center"/>
        <w:rPr>
          <w:b/>
          <w:bCs/>
        </w:rPr>
      </w:pPr>
    </w:p>
    <w:p w:rsidR="00916F30" w:rsidRPr="00680B61" w:rsidRDefault="00916F30" w:rsidP="00916F30">
      <w:pPr>
        <w:jc w:val="center"/>
        <w:rPr>
          <w:b/>
          <w:bCs/>
        </w:rPr>
      </w:pPr>
      <w:r w:rsidRPr="00680B61">
        <w:rPr>
          <w:b/>
          <w:bCs/>
        </w:rPr>
        <w:t xml:space="preserve">EDITAL Nº </w:t>
      </w:r>
      <w:r w:rsidR="001831A5">
        <w:rPr>
          <w:b/>
          <w:bCs/>
        </w:rPr>
        <w:t>003</w:t>
      </w:r>
      <w:r w:rsidRPr="00680B61">
        <w:rPr>
          <w:b/>
          <w:bCs/>
        </w:rPr>
        <w:t>/20</w:t>
      </w:r>
      <w:r w:rsidR="00E05406">
        <w:rPr>
          <w:b/>
          <w:bCs/>
        </w:rPr>
        <w:t>13</w:t>
      </w:r>
      <w:r w:rsidR="00D507DD">
        <w:rPr>
          <w:b/>
          <w:bCs/>
        </w:rPr>
        <w:t>/CT</w:t>
      </w:r>
      <w:r w:rsidR="00EB5A53" w:rsidRPr="00680B61">
        <w:rPr>
          <w:b/>
          <w:bCs/>
        </w:rPr>
        <w:t>BJ</w:t>
      </w:r>
    </w:p>
    <w:p w:rsidR="00EE40A2" w:rsidRPr="00680B61" w:rsidRDefault="00EE40A2" w:rsidP="00916F30">
      <w:pPr>
        <w:jc w:val="center"/>
        <w:rPr>
          <w:b/>
          <w:bCs/>
        </w:rPr>
      </w:pPr>
    </w:p>
    <w:p w:rsidR="00916F30" w:rsidRPr="00680B61" w:rsidRDefault="00916F30" w:rsidP="00916F30">
      <w:pPr>
        <w:jc w:val="center"/>
        <w:rPr>
          <w:b/>
          <w:bCs/>
        </w:rPr>
      </w:pPr>
    </w:p>
    <w:p w:rsidR="00916F30" w:rsidRPr="00680B61" w:rsidRDefault="00916F30" w:rsidP="00916F30">
      <w:pPr>
        <w:jc w:val="both"/>
        <w:rPr>
          <w:bCs/>
        </w:rPr>
      </w:pPr>
      <w:r w:rsidRPr="00680B61">
        <w:rPr>
          <w:bCs/>
        </w:rPr>
        <w:tab/>
        <w:t xml:space="preserve">Por delegação de competência do Magnífico Reitor da Universidade Federal do Piauí – UFPI, </w:t>
      </w:r>
      <w:r w:rsidR="00E531B3" w:rsidRPr="00680B61">
        <w:rPr>
          <w:bCs/>
        </w:rPr>
        <w:t>a</w:t>
      </w:r>
      <w:r w:rsidRPr="00680B61">
        <w:rPr>
          <w:bCs/>
        </w:rPr>
        <w:t xml:space="preserve"> Diretor</w:t>
      </w:r>
      <w:r w:rsidR="00E531B3" w:rsidRPr="00680B61">
        <w:rPr>
          <w:bCs/>
        </w:rPr>
        <w:t>a</w:t>
      </w:r>
      <w:r w:rsidR="00D507DD">
        <w:rPr>
          <w:bCs/>
        </w:rPr>
        <w:t xml:space="preserve"> do Colégio Técnico</w:t>
      </w:r>
      <w:r w:rsidRPr="00680B61">
        <w:rPr>
          <w:bCs/>
        </w:rPr>
        <w:t xml:space="preserve"> de Bom Jesus, no uso de suas atribuições legais, torna público aos interessados, que</w:t>
      </w:r>
      <w:r w:rsidR="00B82D4E">
        <w:rPr>
          <w:bCs/>
        </w:rPr>
        <w:t xml:space="preserve"> estarão abertas as inscrições a</w:t>
      </w:r>
      <w:r w:rsidRPr="00680B61">
        <w:rPr>
          <w:bCs/>
        </w:rPr>
        <w:t xml:space="preserve">o Processo de Seleção para contratação de Professor Substituto correspondente à Classe </w:t>
      </w:r>
      <w:r w:rsidR="00522463" w:rsidRPr="00B82D4E">
        <w:rPr>
          <w:b/>
          <w:bCs/>
        </w:rPr>
        <w:t>D</w:t>
      </w:r>
      <w:r w:rsidR="00B82D4E" w:rsidRPr="00B82D4E">
        <w:rPr>
          <w:b/>
          <w:bCs/>
        </w:rPr>
        <w:t xml:space="preserve"> </w:t>
      </w:r>
      <w:r w:rsidR="00522463" w:rsidRPr="00B82D4E">
        <w:rPr>
          <w:b/>
          <w:bCs/>
        </w:rPr>
        <w:t>101</w:t>
      </w:r>
      <w:r w:rsidRPr="00B82D4E">
        <w:rPr>
          <w:b/>
          <w:bCs/>
        </w:rPr>
        <w:t>,</w:t>
      </w:r>
      <w:r w:rsidR="00522463" w:rsidRPr="00B82D4E">
        <w:rPr>
          <w:b/>
          <w:bCs/>
        </w:rPr>
        <w:t xml:space="preserve"> da</w:t>
      </w:r>
      <w:r w:rsidR="00522463">
        <w:rPr>
          <w:bCs/>
        </w:rPr>
        <w:t xml:space="preserve"> </w:t>
      </w:r>
      <w:r w:rsidR="00522463" w:rsidRPr="00B82D4E">
        <w:rPr>
          <w:b/>
          <w:bCs/>
        </w:rPr>
        <w:t>Carreira de Ensino Básico, Técnico e Tecnológico</w:t>
      </w:r>
      <w:r w:rsidR="00522463">
        <w:rPr>
          <w:bCs/>
        </w:rPr>
        <w:t>,</w:t>
      </w:r>
      <w:r w:rsidRPr="00680B61">
        <w:rPr>
          <w:bCs/>
        </w:rPr>
        <w:t xml:space="preserve"> </w:t>
      </w:r>
      <w:r w:rsidR="00B82D4E">
        <w:rPr>
          <w:bCs/>
        </w:rPr>
        <w:t>por até 12 (doze) meses, em R</w:t>
      </w:r>
      <w:r w:rsidRPr="00680B61">
        <w:rPr>
          <w:bCs/>
        </w:rPr>
        <w:t xml:space="preserve">egime de </w:t>
      </w:r>
      <w:r w:rsidR="00740E73" w:rsidRPr="00680B61">
        <w:rPr>
          <w:bCs/>
        </w:rPr>
        <w:t>T</w:t>
      </w:r>
      <w:r w:rsidR="00B82D4E">
        <w:rPr>
          <w:bCs/>
        </w:rPr>
        <w:t xml:space="preserve">empo </w:t>
      </w:r>
      <w:r w:rsidR="00740E73" w:rsidRPr="00680B61">
        <w:rPr>
          <w:bCs/>
        </w:rPr>
        <w:t>P</w:t>
      </w:r>
      <w:r w:rsidR="00B82D4E">
        <w:rPr>
          <w:bCs/>
        </w:rPr>
        <w:t>arcial TP-</w:t>
      </w:r>
      <w:r w:rsidR="00740E73" w:rsidRPr="00680B61">
        <w:rPr>
          <w:bCs/>
        </w:rPr>
        <w:t>40</w:t>
      </w:r>
      <w:r w:rsidR="00B82D4E">
        <w:rPr>
          <w:bCs/>
        </w:rPr>
        <w:t xml:space="preserve"> (40 horas semanais),</w:t>
      </w:r>
      <w:r w:rsidRPr="00680B61">
        <w:rPr>
          <w:bCs/>
        </w:rPr>
        <w:t xml:space="preserve"> nos termos da Lei nº 8.745/93 regulamentada pelas Leis nº 9.849/99 e a Lei nº 10.667/03 publicadas em 10/12/93, </w:t>
      </w:r>
      <w:r w:rsidR="00AA2FA1" w:rsidRPr="00680B61">
        <w:rPr>
          <w:bCs/>
        </w:rPr>
        <w:t>27/10/99 e 15/05/03 respectivamente</w:t>
      </w:r>
      <w:r w:rsidR="00740E73" w:rsidRPr="00680B61">
        <w:rPr>
          <w:bCs/>
        </w:rPr>
        <w:t>,</w:t>
      </w:r>
      <w:r w:rsidR="00B82D4E">
        <w:rPr>
          <w:bCs/>
        </w:rPr>
        <w:t xml:space="preserve"> o Decreto nº 6.944/09 de 21 de agosto de 2009 publicado no DOU de 24/08/2009</w:t>
      </w:r>
      <w:r w:rsidR="00740E73" w:rsidRPr="00680B61">
        <w:rPr>
          <w:bCs/>
        </w:rPr>
        <w:t xml:space="preserve"> </w:t>
      </w:r>
      <w:r w:rsidR="00AA2FA1" w:rsidRPr="00680B61">
        <w:rPr>
          <w:bCs/>
        </w:rPr>
        <w:t xml:space="preserve">e </w:t>
      </w:r>
      <w:r w:rsidR="00B82D4E">
        <w:rPr>
          <w:bCs/>
        </w:rPr>
        <w:t>a</w:t>
      </w:r>
      <w:r w:rsidR="00AA2FA1" w:rsidRPr="00680B61">
        <w:rPr>
          <w:bCs/>
        </w:rPr>
        <w:t xml:space="preserve"> Resolução</w:t>
      </w:r>
      <w:r w:rsidR="00B82D4E">
        <w:rPr>
          <w:bCs/>
        </w:rPr>
        <w:t xml:space="preserve"> Normativa SRH/MP nº 5 de outubro de 2009 e a Resolução do Conselho Universitário da UFPI, nº</w:t>
      </w:r>
      <w:r w:rsidR="00AA2FA1" w:rsidRPr="00680B61">
        <w:rPr>
          <w:bCs/>
        </w:rPr>
        <w:t xml:space="preserve"> 0</w:t>
      </w:r>
      <w:r w:rsidR="00522463">
        <w:rPr>
          <w:bCs/>
        </w:rPr>
        <w:t>3</w:t>
      </w:r>
      <w:r w:rsidR="00AA2FA1" w:rsidRPr="00680B61">
        <w:rPr>
          <w:bCs/>
        </w:rPr>
        <w:t>9/0</w:t>
      </w:r>
      <w:r w:rsidR="00522463">
        <w:rPr>
          <w:bCs/>
        </w:rPr>
        <w:t>8</w:t>
      </w:r>
      <w:r w:rsidR="00A95AA7">
        <w:rPr>
          <w:bCs/>
        </w:rPr>
        <w:t xml:space="preserve"> de 11/09/2008</w:t>
      </w:r>
      <w:r w:rsidR="00AA2FA1" w:rsidRPr="00680B61">
        <w:rPr>
          <w:bCs/>
        </w:rPr>
        <w:t>, observada</w:t>
      </w:r>
      <w:r w:rsidR="00693A7D" w:rsidRPr="00680B61">
        <w:rPr>
          <w:bCs/>
        </w:rPr>
        <w:t>s</w:t>
      </w:r>
      <w:r w:rsidR="00AA2FA1" w:rsidRPr="00680B61">
        <w:rPr>
          <w:bCs/>
        </w:rPr>
        <w:t xml:space="preserve"> as disposições legais aplicáveis à espécie e as normas contidas neste Edital.</w:t>
      </w:r>
    </w:p>
    <w:p w:rsidR="00AA2FA1" w:rsidRPr="00680B61" w:rsidRDefault="00AA2FA1" w:rsidP="00916F30">
      <w:pPr>
        <w:jc w:val="both"/>
        <w:rPr>
          <w:bCs/>
        </w:rPr>
      </w:pPr>
    </w:p>
    <w:p w:rsidR="00AA2FA1" w:rsidRPr="00680B61" w:rsidRDefault="00AA2FA1" w:rsidP="00916F30">
      <w:pPr>
        <w:jc w:val="both"/>
        <w:rPr>
          <w:b/>
          <w:bCs/>
        </w:rPr>
      </w:pPr>
      <w:r w:rsidRPr="00680B61">
        <w:rPr>
          <w:b/>
          <w:bCs/>
        </w:rPr>
        <w:t>1 – DAS INSCRIÇÕES</w:t>
      </w:r>
    </w:p>
    <w:p w:rsidR="00AA2FA1" w:rsidRDefault="00522463" w:rsidP="00522463">
      <w:pPr>
        <w:ind w:firstLine="708"/>
        <w:jc w:val="both"/>
        <w:rPr>
          <w:bCs/>
        </w:rPr>
      </w:pPr>
      <w:r>
        <w:rPr>
          <w:bCs/>
        </w:rPr>
        <w:t>1.1. A</w:t>
      </w:r>
      <w:r w:rsidR="00AA2FA1" w:rsidRPr="00680B61">
        <w:rPr>
          <w:bCs/>
        </w:rPr>
        <w:t xml:space="preserve">s inscrições serão realizadas no período de </w:t>
      </w:r>
      <w:r w:rsidR="00D507DD">
        <w:rPr>
          <w:bCs/>
        </w:rPr>
        <w:t>1</w:t>
      </w:r>
      <w:r w:rsidR="00316BFE">
        <w:rPr>
          <w:bCs/>
        </w:rPr>
        <w:t>1</w:t>
      </w:r>
      <w:r w:rsidR="00CE04D0">
        <w:rPr>
          <w:bCs/>
        </w:rPr>
        <w:t xml:space="preserve"> </w:t>
      </w:r>
      <w:r w:rsidR="00AA2FA1" w:rsidRPr="00680B61">
        <w:rPr>
          <w:bCs/>
        </w:rPr>
        <w:t xml:space="preserve">a </w:t>
      </w:r>
      <w:r w:rsidR="00316BFE">
        <w:rPr>
          <w:bCs/>
        </w:rPr>
        <w:t>17</w:t>
      </w:r>
      <w:r w:rsidR="00AA2FA1" w:rsidRPr="00680B61">
        <w:rPr>
          <w:bCs/>
        </w:rPr>
        <w:t xml:space="preserve"> de </w:t>
      </w:r>
      <w:r w:rsidR="00D507DD">
        <w:rPr>
          <w:bCs/>
        </w:rPr>
        <w:t>abril</w:t>
      </w:r>
      <w:r w:rsidR="00AA2FA1" w:rsidRPr="00680B61">
        <w:rPr>
          <w:bCs/>
        </w:rPr>
        <w:t xml:space="preserve"> de 20</w:t>
      </w:r>
      <w:r w:rsidR="000C2C3F">
        <w:rPr>
          <w:bCs/>
        </w:rPr>
        <w:t>1</w:t>
      </w:r>
      <w:r w:rsidR="00D507DD">
        <w:rPr>
          <w:bCs/>
        </w:rPr>
        <w:t>3</w:t>
      </w:r>
      <w:r w:rsidR="00C730E4">
        <w:rPr>
          <w:bCs/>
        </w:rPr>
        <w:t>, no horário de</w:t>
      </w:r>
      <w:r w:rsidR="00AA2FA1" w:rsidRPr="00680B61">
        <w:rPr>
          <w:bCs/>
        </w:rPr>
        <w:t xml:space="preserve"> </w:t>
      </w:r>
      <w:r w:rsidR="00C730E4">
        <w:rPr>
          <w:bCs/>
        </w:rPr>
        <w:t>08:00 às 11:00 e de 14:00 às 17:0</w:t>
      </w:r>
      <w:r w:rsidR="00AA2FA1" w:rsidRPr="00680B61">
        <w:rPr>
          <w:bCs/>
        </w:rPr>
        <w:t>0 horas, na Secretaria d</w:t>
      </w:r>
      <w:r>
        <w:rPr>
          <w:bCs/>
        </w:rPr>
        <w:t xml:space="preserve">o Colégio </w:t>
      </w:r>
      <w:r w:rsidR="00D507DD">
        <w:rPr>
          <w:bCs/>
        </w:rPr>
        <w:t>Técnico</w:t>
      </w:r>
      <w:r>
        <w:rPr>
          <w:bCs/>
        </w:rPr>
        <w:t xml:space="preserve"> de Bom Jesus;</w:t>
      </w:r>
    </w:p>
    <w:p w:rsidR="00522463" w:rsidRPr="00680B61" w:rsidRDefault="00522463" w:rsidP="00522463">
      <w:pPr>
        <w:ind w:firstLine="708"/>
        <w:jc w:val="both"/>
        <w:rPr>
          <w:bCs/>
        </w:rPr>
      </w:pPr>
      <w:r>
        <w:rPr>
          <w:bCs/>
        </w:rPr>
        <w:t>1.2. Admitir-se-á inscrição através de procuração com firma reconhecida</w:t>
      </w:r>
      <w:r w:rsidR="00C730E4">
        <w:rPr>
          <w:bCs/>
        </w:rPr>
        <w:t xml:space="preserve"> e</w:t>
      </w:r>
      <w:r>
        <w:rPr>
          <w:bCs/>
        </w:rPr>
        <w:t xml:space="preserve"> pelos correios.</w:t>
      </w:r>
    </w:p>
    <w:p w:rsidR="00AA2FA1" w:rsidRPr="00680B61" w:rsidRDefault="00AA2FA1" w:rsidP="00916F30">
      <w:pPr>
        <w:jc w:val="both"/>
        <w:rPr>
          <w:bCs/>
        </w:rPr>
      </w:pPr>
    </w:p>
    <w:p w:rsidR="00AA2FA1" w:rsidRDefault="00AA2FA1" w:rsidP="00916F30">
      <w:pPr>
        <w:jc w:val="both"/>
        <w:rPr>
          <w:b/>
          <w:bCs/>
        </w:rPr>
      </w:pPr>
      <w:r w:rsidRPr="00680B61">
        <w:rPr>
          <w:b/>
          <w:bCs/>
        </w:rPr>
        <w:t>2 – DAS DISPOSIÇÕES PRELIMINARES</w:t>
      </w:r>
    </w:p>
    <w:p w:rsidR="00C730E4" w:rsidRPr="00C730E4" w:rsidRDefault="00C730E4" w:rsidP="00C730E4">
      <w:pPr>
        <w:ind w:firstLine="708"/>
        <w:jc w:val="both"/>
        <w:rPr>
          <w:bCs/>
        </w:rPr>
      </w:pPr>
      <w:r>
        <w:rPr>
          <w:bCs/>
        </w:rPr>
        <w:t xml:space="preserve">O departamento, área de conhecimento, nº de vagas, requisitos, remuneração e taxa de inscrição estão estabelecidos no quadro abaixo: </w:t>
      </w:r>
    </w:p>
    <w:p w:rsidR="00EE40A2" w:rsidRPr="00680B61" w:rsidRDefault="00AA2FA1" w:rsidP="00916F30">
      <w:pPr>
        <w:jc w:val="both"/>
        <w:rPr>
          <w:bCs/>
        </w:rPr>
      </w:pPr>
      <w:r w:rsidRPr="00680B61">
        <w:rPr>
          <w:b/>
          <w:bCs/>
        </w:rPr>
        <w:tab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7"/>
        <w:gridCol w:w="851"/>
        <w:gridCol w:w="3260"/>
        <w:gridCol w:w="1701"/>
        <w:gridCol w:w="850"/>
      </w:tblGrid>
      <w:tr w:rsidR="000C2C3F" w:rsidRPr="00FC7D9A" w:rsidTr="000C2C3F">
        <w:tc>
          <w:tcPr>
            <w:tcW w:w="1134" w:type="dxa"/>
            <w:vAlign w:val="center"/>
          </w:tcPr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Unidade</w:t>
            </w:r>
          </w:p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de</w:t>
            </w:r>
          </w:p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Ensino</w:t>
            </w:r>
          </w:p>
        </w:tc>
        <w:tc>
          <w:tcPr>
            <w:tcW w:w="2977" w:type="dxa"/>
            <w:vAlign w:val="center"/>
          </w:tcPr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Área/Disciplina</w:t>
            </w:r>
          </w:p>
        </w:tc>
        <w:tc>
          <w:tcPr>
            <w:tcW w:w="851" w:type="dxa"/>
            <w:vAlign w:val="center"/>
          </w:tcPr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Nº de</w:t>
            </w:r>
          </w:p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Vagas</w:t>
            </w:r>
          </w:p>
        </w:tc>
        <w:tc>
          <w:tcPr>
            <w:tcW w:w="3260" w:type="dxa"/>
            <w:vAlign w:val="center"/>
          </w:tcPr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Requisito</w:t>
            </w:r>
          </w:p>
        </w:tc>
        <w:tc>
          <w:tcPr>
            <w:tcW w:w="1701" w:type="dxa"/>
            <w:vAlign w:val="center"/>
          </w:tcPr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Remuneração</w:t>
            </w:r>
          </w:p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R$</w:t>
            </w:r>
          </w:p>
        </w:tc>
        <w:tc>
          <w:tcPr>
            <w:tcW w:w="850" w:type="dxa"/>
            <w:vAlign w:val="center"/>
          </w:tcPr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Taxa</w:t>
            </w:r>
          </w:p>
          <w:p w:rsidR="006F5AC8" w:rsidRPr="00FC7D9A" w:rsidRDefault="006F5AC8" w:rsidP="00FC7D9A">
            <w:pPr>
              <w:jc w:val="center"/>
              <w:rPr>
                <w:b/>
                <w:bCs/>
              </w:rPr>
            </w:pPr>
            <w:r w:rsidRPr="00FC7D9A">
              <w:rPr>
                <w:b/>
                <w:bCs/>
              </w:rPr>
              <w:t>R$</w:t>
            </w:r>
          </w:p>
        </w:tc>
      </w:tr>
      <w:tr w:rsidR="00D507DD" w:rsidRPr="00FC7D9A" w:rsidTr="000C2C3F">
        <w:tc>
          <w:tcPr>
            <w:tcW w:w="1134" w:type="dxa"/>
            <w:vAlign w:val="center"/>
          </w:tcPr>
          <w:p w:rsidR="00D507DD" w:rsidRPr="00FC7D9A" w:rsidRDefault="00D507DD" w:rsidP="00FC7D9A">
            <w:pPr>
              <w:jc w:val="center"/>
              <w:rPr>
                <w:bCs/>
              </w:rPr>
            </w:pPr>
            <w:r>
              <w:rPr>
                <w:bCs/>
              </w:rPr>
              <w:t>CTBJ</w:t>
            </w:r>
          </w:p>
        </w:tc>
        <w:tc>
          <w:tcPr>
            <w:tcW w:w="2977" w:type="dxa"/>
            <w:vAlign w:val="center"/>
          </w:tcPr>
          <w:p w:rsidR="00D507DD" w:rsidRDefault="00D507DD" w:rsidP="00FC7D9A">
            <w:pPr>
              <w:jc w:val="center"/>
              <w:rPr>
                <w:bCs/>
              </w:rPr>
            </w:pPr>
            <w:r>
              <w:rPr>
                <w:bCs/>
              </w:rPr>
              <w:t>Enfermagem</w:t>
            </w:r>
          </w:p>
        </w:tc>
        <w:tc>
          <w:tcPr>
            <w:tcW w:w="851" w:type="dxa"/>
            <w:vAlign w:val="center"/>
          </w:tcPr>
          <w:p w:rsidR="00D507DD" w:rsidRPr="00FC7D9A" w:rsidRDefault="00D507DD" w:rsidP="00FC7D9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260" w:type="dxa"/>
          </w:tcPr>
          <w:p w:rsidR="00D507DD" w:rsidRDefault="00D507DD" w:rsidP="000C2C3F">
            <w:pPr>
              <w:jc w:val="center"/>
              <w:rPr>
                <w:bCs/>
              </w:rPr>
            </w:pPr>
            <w:r>
              <w:rPr>
                <w:bCs/>
              </w:rPr>
              <w:t>Portador de Diploma de Bacharelado em Enfermagem</w:t>
            </w:r>
          </w:p>
        </w:tc>
        <w:tc>
          <w:tcPr>
            <w:tcW w:w="1701" w:type="dxa"/>
            <w:vAlign w:val="center"/>
          </w:tcPr>
          <w:p w:rsidR="00D507DD" w:rsidRPr="00FC7D9A" w:rsidRDefault="001065DA" w:rsidP="00E50FAE">
            <w:pPr>
              <w:jc w:val="center"/>
              <w:rPr>
                <w:bCs/>
              </w:rPr>
            </w:pPr>
            <w:r>
              <w:rPr>
                <w:bCs/>
              </w:rPr>
              <w:t>2.714,89</w:t>
            </w:r>
          </w:p>
        </w:tc>
        <w:tc>
          <w:tcPr>
            <w:tcW w:w="850" w:type="dxa"/>
            <w:vAlign w:val="center"/>
          </w:tcPr>
          <w:p w:rsidR="00D507DD" w:rsidRPr="00FC7D9A" w:rsidRDefault="001065DA" w:rsidP="00E50FAE">
            <w:pPr>
              <w:jc w:val="center"/>
              <w:rPr>
                <w:bCs/>
              </w:rPr>
            </w:pPr>
            <w:r>
              <w:rPr>
                <w:bCs/>
              </w:rPr>
              <w:t>67,90</w:t>
            </w:r>
          </w:p>
        </w:tc>
      </w:tr>
    </w:tbl>
    <w:p w:rsidR="00AA2FA1" w:rsidRPr="00680B61" w:rsidRDefault="00AA2FA1" w:rsidP="00916F30">
      <w:pPr>
        <w:jc w:val="both"/>
        <w:rPr>
          <w:bCs/>
        </w:rPr>
      </w:pPr>
    </w:p>
    <w:p w:rsidR="00C730E4" w:rsidRDefault="00C730E4" w:rsidP="00C730E4">
      <w:pPr>
        <w:ind w:firstLine="708"/>
        <w:jc w:val="both"/>
        <w:rPr>
          <w:bCs/>
        </w:rPr>
      </w:pPr>
      <w:r w:rsidRPr="00680B61">
        <w:rPr>
          <w:bCs/>
        </w:rPr>
        <w:t>2.1</w:t>
      </w:r>
      <w:r>
        <w:rPr>
          <w:bCs/>
        </w:rPr>
        <w:t>.</w:t>
      </w:r>
      <w:r w:rsidRPr="00680B61">
        <w:rPr>
          <w:bCs/>
        </w:rPr>
        <w:t xml:space="preserve"> </w:t>
      </w:r>
      <w:r>
        <w:rPr>
          <w:bCs/>
        </w:rPr>
        <w:t>O professor substituto fará jus ao pagamento da Retribuição de Titulação – RT conforme titulação estabelecida no Edital do processo seletivo simplificado, sendo vedada qualquer alteração posterior;</w:t>
      </w:r>
    </w:p>
    <w:p w:rsidR="00C730E4" w:rsidRDefault="00C730E4" w:rsidP="00C730E4">
      <w:pPr>
        <w:ind w:firstLine="708"/>
        <w:jc w:val="both"/>
        <w:rPr>
          <w:bCs/>
        </w:rPr>
      </w:pPr>
      <w:r>
        <w:rPr>
          <w:bCs/>
        </w:rPr>
        <w:t>2.2. Não será permitida a contratação em regime de dedicação exclusiva.</w:t>
      </w:r>
    </w:p>
    <w:p w:rsidR="000C2C3F" w:rsidRDefault="000C2C3F" w:rsidP="00C730E4">
      <w:pPr>
        <w:ind w:firstLine="708"/>
        <w:jc w:val="both"/>
        <w:rPr>
          <w:bCs/>
        </w:rPr>
      </w:pPr>
    </w:p>
    <w:p w:rsidR="006F5AC8" w:rsidRDefault="006F5AC8" w:rsidP="00916F30">
      <w:pPr>
        <w:jc w:val="both"/>
        <w:rPr>
          <w:b/>
          <w:bCs/>
        </w:rPr>
      </w:pPr>
      <w:r w:rsidRPr="00680B61">
        <w:rPr>
          <w:b/>
          <w:bCs/>
        </w:rPr>
        <w:t>3 – DOS REQUISITOS PARA INSCRIÇÃO</w:t>
      </w:r>
    </w:p>
    <w:p w:rsidR="00C27577" w:rsidRDefault="00C27577" w:rsidP="00CE1601">
      <w:pPr>
        <w:jc w:val="both"/>
        <w:rPr>
          <w:bCs/>
        </w:rPr>
      </w:pPr>
      <w:r w:rsidRPr="00680B61">
        <w:rPr>
          <w:b/>
          <w:bCs/>
        </w:rPr>
        <w:tab/>
      </w:r>
      <w:r w:rsidRPr="00680B61">
        <w:rPr>
          <w:bCs/>
        </w:rPr>
        <w:t>3.1. Ser brasileiro nato, naturalizado ou estrangeiro com visto permanente;</w:t>
      </w:r>
    </w:p>
    <w:p w:rsidR="00C27577" w:rsidRDefault="00C27577" w:rsidP="00B330F3">
      <w:pPr>
        <w:autoSpaceDE w:val="0"/>
        <w:autoSpaceDN w:val="0"/>
        <w:adjustRightInd w:val="0"/>
        <w:ind w:firstLine="708"/>
        <w:jc w:val="both"/>
      </w:pPr>
      <w:r>
        <w:t xml:space="preserve">3.2. Requerimento de inscrição fornecido pela Secretaria do </w:t>
      </w:r>
      <w:r w:rsidR="00D507DD">
        <w:rPr>
          <w:i/>
          <w:iCs/>
        </w:rPr>
        <w:t>Colégio Técnico</w:t>
      </w:r>
      <w:r w:rsidR="00CE1601">
        <w:rPr>
          <w:i/>
          <w:iCs/>
        </w:rPr>
        <w:t xml:space="preserve"> de Bom Jesus</w:t>
      </w:r>
      <w:r w:rsidR="00F50F19">
        <w:rPr>
          <w:i/>
          <w:iCs/>
        </w:rPr>
        <w:t xml:space="preserve"> - C</w:t>
      </w:r>
      <w:r w:rsidR="00D507DD">
        <w:rPr>
          <w:i/>
          <w:iCs/>
        </w:rPr>
        <w:t>T</w:t>
      </w:r>
      <w:r w:rsidR="00F50F19">
        <w:rPr>
          <w:i/>
          <w:iCs/>
        </w:rPr>
        <w:t>BJ</w:t>
      </w:r>
      <w:r>
        <w:t>;</w:t>
      </w:r>
    </w:p>
    <w:p w:rsidR="003E3942" w:rsidRDefault="003E3942" w:rsidP="00B330F3">
      <w:pPr>
        <w:autoSpaceDE w:val="0"/>
        <w:autoSpaceDN w:val="0"/>
        <w:adjustRightInd w:val="0"/>
        <w:ind w:firstLine="708"/>
        <w:jc w:val="both"/>
      </w:pPr>
      <w:r>
        <w:t>3.3. Duas fotos 3x4;</w:t>
      </w:r>
    </w:p>
    <w:p w:rsidR="00C27577" w:rsidRDefault="00C27577" w:rsidP="00CE1601">
      <w:pPr>
        <w:autoSpaceDE w:val="0"/>
        <w:autoSpaceDN w:val="0"/>
        <w:adjustRightInd w:val="0"/>
        <w:ind w:firstLine="708"/>
        <w:jc w:val="both"/>
      </w:pPr>
      <w:r>
        <w:t>3.</w:t>
      </w:r>
      <w:r w:rsidR="003E3942">
        <w:t>4</w:t>
      </w:r>
      <w:r>
        <w:t>. Cópia do documento de Identidade e CPF</w:t>
      </w:r>
      <w:r w:rsidR="0047295D">
        <w:t xml:space="preserve"> autenticados</w:t>
      </w:r>
      <w:r>
        <w:t>;</w:t>
      </w:r>
    </w:p>
    <w:p w:rsidR="00C27577" w:rsidRDefault="00C27577" w:rsidP="00CE1601">
      <w:pPr>
        <w:autoSpaceDE w:val="0"/>
        <w:autoSpaceDN w:val="0"/>
        <w:adjustRightInd w:val="0"/>
        <w:ind w:firstLine="708"/>
        <w:jc w:val="both"/>
      </w:pPr>
      <w:r>
        <w:t>3.</w:t>
      </w:r>
      <w:r w:rsidR="003E3942">
        <w:t>5</w:t>
      </w:r>
      <w:r>
        <w:t>. Cópia de comprovante de quitação com a Justiça Eleitoral;</w:t>
      </w:r>
    </w:p>
    <w:p w:rsidR="00C27577" w:rsidRDefault="00C27577" w:rsidP="00B330F3">
      <w:pPr>
        <w:autoSpaceDE w:val="0"/>
        <w:autoSpaceDN w:val="0"/>
        <w:adjustRightInd w:val="0"/>
        <w:ind w:firstLine="708"/>
        <w:jc w:val="both"/>
      </w:pPr>
      <w:r>
        <w:lastRenderedPageBreak/>
        <w:t>3.</w:t>
      </w:r>
      <w:r w:rsidR="003E3942">
        <w:t>6</w:t>
      </w:r>
      <w:r>
        <w:t>. Cópia de comprovante de quitação com o Serviço Militar (se candidato do sexo</w:t>
      </w:r>
      <w:r w:rsidR="00B330F3">
        <w:t xml:space="preserve"> </w:t>
      </w:r>
      <w:r>
        <w:t>masculino);</w:t>
      </w:r>
    </w:p>
    <w:p w:rsidR="00C27577" w:rsidRDefault="00C27577" w:rsidP="00CE1601">
      <w:pPr>
        <w:autoSpaceDE w:val="0"/>
        <w:autoSpaceDN w:val="0"/>
        <w:adjustRightInd w:val="0"/>
        <w:ind w:firstLine="708"/>
        <w:jc w:val="both"/>
      </w:pPr>
      <w:r>
        <w:t>3.</w:t>
      </w:r>
      <w:r w:rsidR="003E3942">
        <w:t>7</w:t>
      </w:r>
      <w:r>
        <w:t>. Cópia de comprovante de titulação exigida</w:t>
      </w:r>
      <w:r w:rsidR="00C730E4">
        <w:t xml:space="preserve"> autenticada</w:t>
      </w:r>
      <w:r>
        <w:t>;</w:t>
      </w:r>
    </w:p>
    <w:p w:rsidR="00C27577" w:rsidRDefault="00C27577" w:rsidP="00E42E7B">
      <w:pPr>
        <w:autoSpaceDE w:val="0"/>
        <w:autoSpaceDN w:val="0"/>
        <w:adjustRightInd w:val="0"/>
        <w:ind w:firstLine="708"/>
        <w:jc w:val="both"/>
      </w:pPr>
      <w:r>
        <w:t>3.</w:t>
      </w:r>
      <w:r w:rsidR="003E3942">
        <w:t>8</w:t>
      </w:r>
      <w:r>
        <w:t>. “</w:t>
      </w:r>
      <w:r>
        <w:rPr>
          <w:i/>
          <w:iCs/>
        </w:rPr>
        <w:t>Currículum Vitae</w:t>
      </w:r>
      <w:r>
        <w:t>” acompanhado de documentação comprobatória</w:t>
      </w:r>
      <w:r w:rsidR="00E338FC">
        <w:t>;</w:t>
      </w:r>
    </w:p>
    <w:p w:rsidR="00C27577" w:rsidRDefault="00C27577" w:rsidP="00CE1601">
      <w:pPr>
        <w:autoSpaceDE w:val="0"/>
        <w:autoSpaceDN w:val="0"/>
        <w:adjustRightInd w:val="0"/>
        <w:ind w:firstLine="708"/>
        <w:jc w:val="both"/>
      </w:pPr>
      <w:r>
        <w:t>3.</w:t>
      </w:r>
      <w:r w:rsidR="003E3942">
        <w:t>9.</w:t>
      </w:r>
      <w:r>
        <w:t xml:space="preserve"> Para inscrição por procuração, o procurador deverá entregar o respectivo mandado e</w:t>
      </w:r>
      <w:r w:rsidR="009A6E06">
        <w:t xml:space="preserve"> </w:t>
      </w:r>
      <w:r>
        <w:t>cópia do documento de identidade do procurador, autenticada em cartório ou</w:t>
      </w:r>
    </w:p>
    <w:p w:rsidR="00C27577" w:rsidRDefault="00C27577" w:rsidP="00CE1601">
      <w:pPr>
        <w:autoSpaceDE w:val="0"/>
        <w:autoSpaceDN w:val="0"/>
        <w:adjustRightInd w:val="0"/>
        <w:jc w:val="both"/>
      </w:pPr>
      <w:r>
        <w:t>acompanhada do original para conferência no ato da inscrição;</w:t>
      </w:r>
    </w:p>
    <w:p w:rsidR="00C27577" w:rsidRDefault="00C27577" w:rsidP="00CE1601">
      <w:pPr>
        <w:autoSpaceDE w:val="0"/>
        <w:autoSpaceDN w:val="0"/>
        <w:adjustRightInd w:val="0"/>
        <w:ind w:firstLine="708"/>
        <w:jc w:val="both"/>
      </w:pPr>
      <w:r>
        <w:t>3.</w:t>
      </w:r>
      <w:r w:rsidR="003E3942">
        <w:t>10</w:t>
      </w:r>
      <w:r>
        <w:t>. Serão da inteira responsabilidade do candidato, as informações prestadas por seu</w:t>
      </w:r>
      <w:r w:rsidR="009A6E06">
        <w:t xml:space="preserve"> </w:t>
      </w:r>
      <w:r>
        <w:t>procurador, dentro dos limites do mandado, o qual assumirá as conseqüências de</w:t>
      </w:r>
      <w:r w:rsidR="009A6E06">
        <w:t xml:space="preserve"> </w:t>
      </w:r>
      <w:r>
        <w:t>eventuais erros, falhas ou omissões;</w:t>
      </w:r>
    </w:p>
    <w:p w:rsidR="00D62F3F" w:rsidRDefault="00C27577" w:rsidP="00E9080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3.1</w:t>
      </w:r>
      <w:r w:rsidR="003E3942">
        <w:t>1</w:t>
      </w:r>
      <w:r>
        <w:t xml:space="preserve">. Comprovante do recolhimento da taxa de inscrição, no valor de R$ </w:t>
      </w:r>
      <w:r w:rsidR="007E6DC5">
        <w:t>67</w:t>
      </w:r>
      <w:r>
        <w:t>,</w:t>
      </w:r>
      <w:r w:rsidR="007E6DC5">
        <w:t>90</w:t>
      </w:r>
      <w:r>
        <w:t xml:space="preserve"> (</w:t>
      </w:r>
      <w:r w:rsidR="007E6DC5">
        <w:t>sessenta e sete reais e noventa centavos</w:t>
      </w:r>
      <w:r>
        <w:t>), por meio de GRU (Guia de Recolhimento da União), disponibilizada em</w:t>
      </w:r>
      <w:r w:rsidR="009A6E06">
        <w:t xml:space="preserve"> </w:t>
      </w:r>
      <w:r>
        <w:t xml:space="preserve">(http://consulta.tesouro.fazenda.gov.br/gru/gru_simples.asp: </w:t>
      </w:r>
      <w:r w:rsidR="00932682">
        <w:rPr>
          <w:bCs/>
        </w:rPr>
        <w:t>Unidade Gestora, cód. 154048; Gestão, cód. 15265; Recolhimento, cód. 288306)</w:t>
      </w:r>
      <w:r>
        <w:t>.</w:t>
      </w:r>
    </w:p>
    <w:p w:rsidR="00D171FA" w:rsidRDefault="00D171FA" w:rsidP="00CE1601">
      <w:pPr>
        <w:jc w:val="both"/>
        <w:rPr>
          <w:bCs/>
        </w:rPr>
      </w:pPr>
    </w:p>
    <w:p w:rsidR="006F5AC8" w:rsidRDefault="00EA2ED5" w:rsidP="00CE1601">
      <w:pPr>
        <w:jc w:val="both"/>
        <w:rPr>
          <w:b/>
          <w:bCs/>
        </w:rPr>
      </w:pPr>
      <w:r w:rsidRPr="00680B61">
        <w:rPr>
          <w:b/>
          <w:bCs/>
        </w:rPr>
        <w:t>4 – DAS PROVAS</w:t>
      </w:r>
    </w:p>
    <w:p w:rsidR="00EA2ED5" w:rsidRPr="00680B61" w:rsidRDefault="00EA2ED5" w:rsidP="00916F30">
      <w:pPr>
        <w:jc w:val="both"/>
        <w:rPr>
          <w:bCs/>
        </w:rPr>
      </w:pPr>
      <w:r w:rsidRPr="00680B61">
        <w:rPr>
          <w:bCs/>
        </w:rPr>
        <w:tab/>
        <w:t>A seleção dar-se-á em conformidade com o que estabelece a Resolução nº 09/0</w:t>
      </w:r>
      <w:r w:rsidR="004F57A5">
        <w:rPr>
          <w:bCs/>
        </w:rPr>
        <w:t>3-CONSUN/UFPI</w:t>
      </w:r>
      <w:r w:rsidR="00A95AA7">
        <w:rPr>
          <w:bCs/>
        </w:rPr>
        <w:t xml:space="preserve"> </w:t>
      </w:r>
      <w:r w:rsidR="004F57A5">
        <w:rPr>
          <w:bCs/>
        </w:rPr>
        <w:t>que altera o anexo III da Resolução nº 004/88-CONSUN/UFPI</w:t>
      </w:r>
      <w:r w:rsidRPr="00680B61">
        <w:rPr>
          <w:bCs/>
        </w:rPr>
        <w:t>, e os candidatos serão submetidos às seguintes provas:</w:t>
      </w:r>
    </w:p>
    <w:p w:rsidR="00EA2ED5" w:rsidRPr="00680B61" w:rsidRDefault="00EA2ED5" w:rsidP="00916F30">
      <w:pPr>
        <w:jc w:val="both"/>
        <w:rPr>
          <w:bCs/>
        </w:rPr>
      </w:pPr>
      <w:r w:rsidRPr="00680B61">
        <w:rPr>
          <w:bCs/>
        </w:rPr>
        <w:tab/>
        <w:t xml:space="preserve">4.1. Prova Didática </w:t>
      </w:r>
      <w:r w:rsidR="00D97D5E" w:rsidRPr="00680B61">
        <w:rPr>
          <w:bCs/>
        </w:rPr>
        <w:t>e</w:t>
      </w:r>
      <w:r w:rsidRPr="00680B61">
        <w:rPr>
          <w:bCs/>
        </w:rPr>
        <w:t xml:space="preserve"> de caráter eliminatório;</w:t>
      </w:r>
    </w:p>
    <w:p w:rsidR="00EA2ED5" w:rsidRPr="00680B61" w:rsidRDefault="00EA2ED5" w:rsidP="00FC630C">
      <w:pPr>
        <w:jc w:val="both"/>
        <w:rPr>
          <w:bCs/>
        </w:rPr>
      </w:pPr>
      <w:r w:rsidRPr="00680B61">
        <w:rPr>
          <w:bCs/>
        </w:rPr>
        <w:tab/>
        <w:t xml:space="preserve">4.1.1. O sorteio do tema para a prova didática ocorrerá a partir das </w:t>
      </w:r>
      <w:r w:rsidR="00353435">
        <w:rPr>
          <w:bCs/>
        </w:rPr>
        <w:t>08</w:t>
      </w:r>
      <w:r w:rsidRPr="00680B61">
        <w:rPr>
          <w:bCs/>
        </w:rPr>
        <w:t>:00 (</w:t>
      </w:r>
      <w:r w:rsidR="00353435">
        <w:rPr>
          <w:bCs/>
        </w:rPr>
        <w:t>oito</w:t>
      </w:r>
      <w:r w:rsidRPr="00680B61">
        <w:rPr>
          <w:bCs/>
        </w:rPr>
        <w:t xml:space="preserve">) horas do dia </w:t>
      </w:r>
      <w:r w:rsidR="00316BFE">
        <w:rPr>
          <w:bCs/>
        </w:rPr>
        <w:t>22</w:t>
      </w:r>
      <w:r w:rsidRPr="00680B61">
        <w:rPr>
          <w:bCs/>
        </w:rPr>
        <w:t xml:space="preserve"> de </w:t>
      </w:r>
      <w:r w:rsidR="00D507DD">
        <w:rPr>
          <w:bCs/>
        </w:rPr>
        <w:t>abril</w:t>
      </w:r>
      <w:r w:rsidRPr="00680B61">
        <w:rPr>
          <w:bCs/>
        </w:rPr>
        <w:t xml:space="preserve"> de 20</w:t>
      </w:r>
      <w:r w:rsidR="000D5001">
        <w:rPr>
          <w:bCs/>
        </w:rPr>
        <w:t>1</w:t>
      </w:r>
      <w:r w:rsidR="00D507DD">
        <w:rPr>
          <w:bCs/>
        </w:rPr>
        <w:t>3</w:t>
      </w:r>
      <w:r w:rsidRPr="00680B61">
        <w:rPr>
          <w:bCs/>
        </w:rPr>
        <w:t>, obedecendo a ordem crescente de inscrição dos candidatos com intervalos de 50 minutos entre cada sorteio e o máximo de três candidatos por turno;</w:t>
      </w:r>
    </w:p>
    <w:p w:rsidR="00FC630C" w:rsidRDefault="00EA2ED5" w:rsidP="00FC630C">
      <w:pPr>
        <w:jc w:val="both"/>
        <w:rPr>
          <w:bCs/>
        </w:rPr>
      </w:pPr>
      <w:r w:rsidRPr="00680B61">
        <w:rPr>
          <w:bCs/>
        </w:rPr>
        <w:tab/>
        <w:t>4.1.2. A prova didática será realizada 24 horas após o sorteio dos temas.</w:t>
      </w:r>
    </w:p>
    <w:p w:rsidR="00FC630C" w:rsidRDefault="00EC7DF3" w:rsidP="00825AA2">
      <w:pPr>
        <w:ind w:firstLine="708"/>
        <w:jc w:val="both"/>
        <w:rPr>
          <w:i/>
          <w:iCs/>
        </w:rPr>
      </w:pPr>
      <w:r>
        <w:t>4.1.3</w:t>
      </w:r>
      <w:r w:rsidR="009B74F5">
        <w:t>.</w:t>
      </w:r>
      <w:r>
        <w:t xml:space="preserve"> </w:t>
      </w:r>
      <w:r w:rsidR="00FC630C">
        <w:t>A prova didática constará de uma aula com duração mínima de 35 minutos</w:t>
      </w:r>
      <w:r w:rsidR="0005305C">
        <w:t xml:space="preserve"> </w:t>
      </w:r>
      <w:r w:rsidR="00FC630C">
        <w:t>e</w:t>
      </w:r>
      <w:r w:rsidR="0005305C">
        <w:t xml:space="preserve"> </w:t>
      </w:r>
      <w:r w:rsidR="00FC630C">
        <w:t xml:space="preserve">máxima de 55 minutos, acompanhada do </w:t>
      </w:r>
      <w:r w:rsidR="00FC630C">
        <w:rPr>
          <w:i/>
          <w:iCs/>
        </w:rPr>
        <w:t xml:space="preserve">plano de aula, </w:t>
      </w:r>
      <w:r w:rsidR="00FC630C">
        <w:t xml:space="preserve">que deverá ser entregue </w:t>
      </w:r>
      <w:r w:rsidR="00825AA2">
        <w:t xml:space="preserve">impresso </w:t>
      </w:r>
      <w:r w:rsidR="00FC630C">
        <w:t>a banca</w:t>
      </w:r>
      <w:r w:rsidR="00825AA2">
        <w:t xml:space="preserve"> </w:t>
      </w:r>
      <w:r w:rsidR="00FC630C">
        <w:t>no momento da realização da prova didática pelo candidato</w:t>
      </w:r>
      <w:r w:rsidR="00FC630C">
        <w:rPr>
          <w:i/>
          <w:iCs/>
        </w:rPr>
        <w:t>;</w:t>
      </w:r>
    </w:p>
    <w:p w:rsidR="00260DFD" w:rsidRDefault="00FC630C" w:rsidP="00260DFD">
      <w:pPr>
        <w:autoSpaceDE w:val="0"/>
        <w:autoSpaceDN w:val="0"/>
        <w:adjustRightInd w:val="0"/>
        <w:ind w:firstLine="708"/>
        <w:jc w:val="both"/>
      </w:pPr>
      <w:r>
        <w:t>4.1.</w:t>
      </w:r>
      <w:r w:rsidR="00260DFD">
        <w:t>4</w:t>
      </w:r>
      <w:r>
        <w:rPr>
          <w:b/>
          <w:bCs/>
        </w:rPr>
        <w:t xml:space="preserve">. </w:t>
      </w:r>
      <w:r>
        <w:t>O candidato que obtiver nota inferior a 7,00 (sete) na prova didática será reprovado</w:t>
      </w:r>
      <w:r w:rsidR="00260DFD">
        <w:t xml:space="preserve"> </w:t>
      </w:r>
      <w:r>
        <w:t>e, consequentemente, eliminado do processo seletivo;</w:t>
      </w:r>
    </w:p>
    <w:p w:rsidR="00FC630C" w:rsidRDefault="00FC630C" w:rsidP="00D96DB5">
      <w:pPr>
        <w:autoSpaceDE w:val="0"/>
        <w:autoSpaceDN w:val="0"/>
        <w:adjustRightInd w:val="0"/>
        <w:ind w:firstLine="708"/>
        <w:jc w:val="both"/>
      </w:pPr>
      <w:r>
        <w:t xml:space="preserve">4.2. Prova de Títulos: análise de </w:t>
      </w:r>
      <w:r>
        <w:rPr>
          <w:i/>
          <w:iCs/>
        </w:rPr>
        <w:t xml:space="preserve">Curriculum Vitae </w:t>
      </w:r>
      <w:r>
        <w:t>de caráter classificatório;</w:t>
      </w:r>
    </w:p>
    <w:p w:rsidR="00FC630C" w:rsidRDefault="00FC630C" w:rsidP="00D96DB5">
      <w:pPr>
        <w:autoSpaceDE w:val="0"/>
        <w:autoSpaceDN w:val="0"/>
        <w:adjustRightInd w:val="0"/>
        <w:ind w:firstLine="708"/>
      </w:pPr>
      <w:r>
        <w:t>4.2.1</w:t>
      </w:r>
      <w:r>
        <w:rPr>
          <w:b/>
          <w:bCs/>
        </w:rPr>
        <w:t xml:space="preserve">. </w:t>
      </w:r>
      <w:r>
        <w:t>A pontuação obtida pelos candidatos na prova de títulos será transformada em</w:t>
      </w:r>
      <w:r w:rsidR="00D96DB5">
        <w:t xml:space="preserve"> </w:t>
      </w:r>
      <w:r>
        <w:t>notas num intervalo de 0 (zero) a 10,0 (dez);</w:t>
      </w:r>
    </w:p>
    <w:p w:rsidR="00FC630C" w:rsidRDefault="00FC630C" w:rsidP="00D96DB5">
      <w:pPr>
        <w:autoSpaceDE w:val="0"/>
        <w:autoSpaceDN w:val="0"/>
        <w:adjustRightInd w:val="0"/>
        <w:ind w:firstLine="708"/>
        <w:jc w:val="both"/>
      </w:pPr>
      <w:r>
        <w:t>4.3</w:t>
      </w:r>
      <w:r>
        <w:rPr>
          <w:b/>
          <w:bCs/>
        </w:rPr>
        <w:t xml:space="preserve">. </w:t>
      </w:r>
      <w:r>
        <w:t>A nota final consistirá no somatório das notas obtidas nas provas didáticas e de</w:t>
      </w:r>
      <w:r w:rsidR="00D96DB5">
        <w:t xml:space="preserve"> </w:t>
      </w:r>
      <w:r>
        <w:t>títulos;</w:t>
      </w:r>
    </w:p>
    <w:p w:rsidR="00EA2ED5" w:rsidRPr="00680B61" w:rsidRDefault="00EA2ED5" w:rsidP="00FC630C">
      <w:pPr>
        <w:jc w:val="both"/>
        <w:rPr>
          <w:bCs/>
        </w:rPr>
      </w:pPr>
    </w:p>
    <w:p w:rsidR="00EA2ED5" w:rsidRDefault="00EA2ED5" w:rsidP="00916F30">
      <w:pPr>
        <w:jc w:val="both"/>
        <w:rPr>
          <w:b/>
          <w:bCs/>
        </w:rPr>
      </w:pPr>
      <w:r w:rsidRPr="00680B61">
        <w:rPr>
          <w:b/>
          <w:bCs/>
        </w:rPr>
        <w:t>5 – PRAZO DE VALIDADE</w:t>
      </w:r>
    </w:p>
    <w:p w:rsidR="003F4AE5" w:rsidRPr="00680B61" w:rsidRDefault="00EA2ED5" w:rsidP="00916F30">
      <w:pPr>
        <w:jc w:val="both"/>
        <w:rPr>
          <w:bCs/>
        </w:rPr>
      </w:pPr>
      <w:r w:rsidRPr="00680B61">
        <w:rPr>
          <w:b/>
          <w:bCs/>
        </w:rPr>
        <w:tab/>
      </w:r>
      <w:r w:rsidRPr="00680B61">
        <w:rPr>
          <w:bCs/>
        </w:rPr>
        <w:t>O prazo de validade do Processo Seletivo será de 01 (um) ano, contado da data de publicação do Edital de homologação do Resultado Final no Diário Oficial da União.</w:t>
      </w:r>
    </w:p>
    <w:p w:rsidR="003F4AE5" w:rsidRPr="00680B61" w:rsidRDefault="003F4AE5" w:rsidP="00916F30">
      <w:pPr>
        <w:jc w:val="both"/>
        <w:rPr>
          <w:bCs/>
        </w:rPr>
      </w:pPr>
    </w:p>
    <w:p w:rsidR="003F4AE5" w:rsidRDefault="003F4AE5" w:rsidP="00916F30">
      <w:pPr>
        <w:jc w:val="both"/>
        <w:rPr>
          <w:b/>
          <w:bCs/>
        </w:rPr>
      </w:pPr>
      <w:r w:rsidRPr="00680B61">
        <w:rPr>
          <w:b/>
          <w:bCs/>
        </w:rPr>
        <w:t>6 – DAS DISPOSIÇÕES GERAIS</w:t>
      </w:r>
    </w:p>
    <w:p w:rsidR="003F4AE5" w:rsidRPr="00680B61" w:rsidRDefault="003F4AE5" w:rsidP="00916F30">
      <w:pPr>
        <w:jc w:val="both"/>
        <w:rPr>
          <w:bCs/>
        </w:rPr>
      </w:pPr>
      <w:r w:rsidRPr="00680B61">
        <w:rPr>
          <w:b/>
          <w:bCs/>
        </w:rPr>
        <w:tab/>
      </w:r>
      <w:r w:rsidRPr="00680B61">
        <w:rPr>
          <w:bCs/>
        </w:rPr>
        <w:t>6.1. Não será admitida a complementação documental fora do prazo de inscrição;</w:t>
      </w:r>
    </w:p>
    <w:p w:rsidR="003F4AE5" w:rsidRPr="00680B61" w:rsidRDefault="003F4AE5" w:rsidP="005B588D">
      <w:pPr>
        <w:autoSpaceDE w:val="0"/>
        <w:autoSpaceDN w:val="0"/>
        <w:adjustRightInd w:val="0"/>
        <w:jc w:val="both"/>
        <w:rPr>
          <w:bCs/>
        </w:rPr>
      </w:pPr>
      <w:r w:rsidRPr="00680B61">
        <w:rPr>
          <w:bCs/>
        </w:rPr>
        <w:tab/>
        <w:t xml:space="preserve">6.2. </w:t>
      </w:r>
      <w:r w:rsidR="004F57A5">
        <w:t>No ato da inscrição, o candidato ou seu procurador, receberá cópia da Resolução nº</w:t>
      </w:r>
      <w:r w:rsidR="004F57A5">
        <w:rPr>
          <w:sz w:val="16"/>
          <w:szCs w:val="16"/>
        </w:rPr>
        <w:t xml:space="preserve"> </w:t>
      </w:r>
      <w:r w:rsidR="004F57A5">
        <w:t xml:space="preserve">09/03-CONSUN/UFPI, que altera o Anexo III da Resolução nº 004/88-CONSUN/UFPI, de 11/11/88, incluindo a tabela de pontos para a análise do </w:t>
      </w:r>
      <w:r w:rsidR="004F57A5">
        <w:rPr>
          <w:i/>
          <w:iCs/>
        </w:rPr>
        <w:t>Curriculum Vitae</w:t>
      </w:r>
      <w:r w:rsidR="004F57A5">
        <w:t>, em vigor na UFPI e cópia deste Edital, cronograma de seleção e lista dos temas;</w:t>
      </w:r>
    </w:p>
    <w:p w:rsidR="003F4AE5" w:rsidRPr="00680B61" w:rsidRDefault="0091701C" w:rsidP="00916F30">
      <w:pPr>
        <w:jc w:val="both"/>
        <w:rPr>
          <w:bCs/>
        </w:rPr>
      </w:pPr>
      <w:r>
        <w:rPr>
          <w:bCs/>
        </w:rPr>
        <w:tab/>
        <w:t xml:space="preserve">6.3. </w:t>
      </w:r>
      <w:r w:rsidR="003F4AE5" w:rsidRPr="00680B61">
        <w:rPr>
          <w:bCs/>
        </w:rPr>
        <w:t>Será indicado para contratação apenas o</w:t>
      </w:r>
      <w:r w:rsidR="002372F9">
        <w:rPr>
          <w:bCs/>
        </w:rPr>
        <w:t>(s)</w:t>
      </w:r>
      <w:r w:rsidR="003F4AE5" w:rsidRPr="00680B61">
        <w:rPr>
          <w:bCs/>
        </w:rPr>
        <w:t xml:space="preserve"> candidato</w:t>
      </w:r>
      <w:r w:rsidR="002372F9">
        <w:rPr>
          <w:bCs/>
        </w:rPr>
        <w:t>(s)</w:t>
      </w:r>
      <w:r w:rsidR="003F4AE5" w:rsidRPr="00680B61">
        <w:rPr>
          <w:bCs/>
        </w:rPr>
        <w:t xml:space="preserve"> necessário</w:t>
      </w:r>
      <w:r w:rsidR="002372F9">
        <w:rPr>
          <w:bCs/>
        </w:rPr>
        <w:t>(s)</w:t>
      </w:r>
      <w:r w:rsidR="003F4AE5" w:rsidRPr="00680B61">
        <w:rPr>
          <w:bCs/>
        </w:rPr>
        <w:t xml:space="preserve"> ao preenchimento da</w:t>
      </w:r>
      <w:r w:rsidR="002372F9">
        <w:rPr>
          <w:bCs/>
        </w:rPr>
        <w:t>(s)</w:t>
      </w:r>
      <w:r w:rsidR="003F4AE5" w:rsidRPr="00680B61">
        <w:rPr>
          <w:bCs/>
        </w:rPr>
        <w:t xml:space="preserve"> vaga</w:t>
      </w:r>
      <w:r w:rsidR="002372F9">
        <w:rPr>
          <w:bCs/>
        </w:rPr>
        <w:t>(s)</w:t>
      </w:r>
      <w:r w:rsidR="003F4AE5" w:rsidRPr="00680B61">
        <w:rPr>
          <w:bCs/>
        </w:rPr>
        <w:t>;</w:t>
      </w:r>
    </w:p>
    <w:p w:rsidR="00132215" w:rsidRDefault="003F4AE5" w:rsidP="005B588D">
      <w:pPr>
        <w:autoSpaceDE w:val="0"/>
        <w:autoSpaceDN w:val="0"/>
        <w:adjustRightInd w:val="0"/>
        <w:jc w:val="both"/>
        <w:rPr>
          <w:bCs/>
        </w:rPr>
      </w:pPr>
      <w:r w:rsidRPr="00680B61">
        <w:rPr>
          <w:bCs/>
        </w:rPr>
        <w:lastRenderedPageBreak/>
        <w:tab/>
        <w:t>6.4. Havendo desistência de candidatos convocados para contratação, facultar-se-á à Administração substituí-lo, convocando outros candidatos se</w:t>
      </w:r>
      <w:r w:rsidR="00D171FA">
        <w:rPr>
          <w:bCs/>
        </w:rPr>
        <w:t>guindo a ordem de classificação</w:t>
      </w:r>
      <w:r w:rsidR="00A95AA7">
        <w:rPr>
          <w:bCs/>
        </w:rPr>
        <w:t xml:space="preserve"> publicada no ato homologatório</w:t>
      </w:r>
      <w:r w:rsidR="00D171FA">
        <w:rPr>
          <w:bCs/>
        </w:rPr>
        <w:t xml:space="preserve">, </w:t>
      </w:r>
      <w:r w:rsidR="00132215">
        <w:t>respeitando o limite de 02 (duas) vezes o número de vagas ou a lista de candidatos incluídos no ato homologatório;</w:t>
      </w:r>
      <w:r w:rsidRPr="00680B61">
        <w:rPr>
          <w:bCs/>
        </w:rPr>
        <w:tab/>
      </w:r>
    </w:p>
    <w:p w:rsidR="003F4AE5" w:rsidRPr="00680B61" w:rsidRDefault="003F4AE5" w:rsidP="005B588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80B61">
        <w:rPr>
          <w:bCs/>
        </w:rPr>
        <w:t>6.5. Os candidatos indicados à contratação serão convocados a comparecer à Diretoria de Recursos Humanos – DRH, da Universidade Federal do Piauí, para assinatura de contrato no prazo de 05 (cinco) dias úteis a contar da data de convocação;</w:t>
      </w:r>
    </w:p>
    <w:p w:rsidR="00F823AB" w:rsidRPr="00680B61" w:rsidRDefault="003F4AE5" w:rsidP="00916F30">
      <w:pPr>
        <w:jc w:val="both"/>
        <w:rPr>
          <w:bCs/>
        </w:rPr>
      </w:pPr>
      <w:r w:rsidRPr="00680B61">
        <w:rPr>
          <w:bCs/>
        </w:rPr>
        <w:tab/>
        <w:t xml:space="preserve">6.6. </w:t>
      </w:r>
      <w:r w:rsidR="00D171FA">
        <w:rPr>
          <w:bCs/>
        </w:rPr>
        <w:t>Será vetada inscrição nesse processo seletivo o candidato cujo término de contrato como professor substituto</w:t>
      </w:r>
      <w:r w:rsidR="00E76447">
        <w:rPr>
          <w:bCs/>
        </w:rPr>
        <w:t xml:space="preserve"> </w:t>
      </w:r>
      <w:smartTag w:uri="urn:schemas-microsoft-com:office:smarttags" w:element="PersonName">
        <w:smartTagPr>
          <w:attr w:name="ProductID" w:val="em Institui￧￣o P￺blica Federal"/>
        </w:smartTagPr>
        <w:smartTag w:uri="urn:schemas-microsoft-com:office:smarttags" w:element="PersonName">
          <w:smartTagPr>
            <w:attr w:name="ProductID" w:val="em Institui￧￣o P￺blica"/>
          </w:smartTagPr>
          <w:r w:rsidR="00E76447">
            <w:rPr>
              <w:bCs/>
            </w:rPr>
            <w:t>em Instituição Pública</w:t>
          </w:r>
        </w:smartTag>
        <w:r w:rsidR="00CE04D0">
          <w:rPr>
            <w:bCs/>
          </w:rPr>
          <w:t xml:space="preserve"> Federal</w:t>
        </w:r>
      </w:smartTag>
      <w:r w:rsidR="00E76447">
        <w:rPr>
          <w:bCs/>
        </w:rPr>
        <w:t xml:space="preserve"> ou outro cargo temporário sob a Lei nº 8745/93 seja menor do que 24 (vinte e quatro</w:t>
      </w:r>
      <w:r w:rsidR="00E24A9B">
        <w:rPr>
          <w:bCs/>
        </w:rPr>
        <w:t>)</w:t>
      </w:r>
      <w:r w:rsidR="00E76447">
        <w:rPr>
          <w:bCs/>
        </w:rPr>
        <w:t xml:space="preserve"> </w:t>
      </w:r>
      <w:r w:rsidR="00E24A9B">
        <w:rPr>
          <w:bCs/>
        </w:rPr>
        <w:t>m</w:t>
      </w:r>
      <w:r w:rsidR="00E76447">
        <w:rPr>
          <w:bCs/>
        </w:rPr>
        <w:t>eses;</w:t>
      </w:r>
      <w:r w:rsidR="00D171FA">
        <w:rPr>
          <w:bCs/>
        </w:rPr>
        <w:t xml:space="preserve"> </w:t>
      </w:r>
    </w:p>
    <w:p w:rsidR="00F823AB" w:rsidRPr="00680B61" w:rsidRDefault="00F823AB" w:rsidP="00916F30">
      <w:pPr>
        <w:jc w:val="both"/>
        <w:rPr>
          <w:bCs/>
        </w:rPr>
      </w:pPr>
      <w:r w:rsidRPr="00680B61">
        <w:rPr>
          <w:bCs/>
        </w:rPr>
        <w:tab/>
        <w:t>6.7. A inscrição do candidato implicará a aceitação tácita das normas constantes deste Edital, às quais não poderá alegar desconhecime</w:t>
      </w:r>
      <w:r w:rsidR="00CA433E" w:rsidRPr="00680B61">
        <w:rPr>
          <w:bCs/>
        </w:rPr>
        <w:t>n</w:t>
      </w:r>
      <w:r w:rsidRPr="00680B61">
        <w:rPr>
          <w:bCs/>
        </w:rPr>
        <w:t>to.</w:t>
      </w:r>
    </w:p>
    <w:p w:rsidR="00F823AB" w:rsidRPr="00680B61" w:rsidRDefault="00F823AB" w:rsidP="00916F30">
      <w:pPr>
        <w:jc w:val="both"/>
        <w:rPr>
          <w:bCs/>
        </w:rPr>
      </w:pPr>
    </w:p>
    <w:p w:rsidR="00F823AB" w:rsidRPr="00680B61" w:rsidRDefault="00F823AB" w:rsidP="00916F30">
      <w:pPr>
        <w:jc w:val="both"/>
        <w:rPr>
          <w:bCs/>
        </w:rPr>
      </w:pPr>
    </w:p>
    <w:p w:rsidR="00EA2ED5" w:rsidRPr="00680B61" w:rsidRDefault="00F823AB" w:rsidP="00F823AB">
      <w:pPr>
        <w:jc w:val="center"/>
        <w:rPr>
          <w:bCs/>
        </w:rPr>
      </w:pPr>
      <w:r w:rsidRPr="00680B61">
        <w:rPr>
          <w:bCs/>
        </w:rPr>
        <w:t xml:space="preserve">Bom Jesus, </w:t>
      </w:r>
      <w:r w:rsidR="00363209">
        <w:rPr>
          <w:bCs/>
        </w:rPr>
        <w:t>09</w:t>
      </w:r>
      <w:r w:rsidR="00EE40A2" w:rsidRPr="00680B61">
        <w:rPr>
          <w:bCs/>
        </w:rPr>
        <w:t xml:space="preserve"> de </w:t>
      </w:r>
      <w:r w:rsidR="00316BFE">
        <w:rPr>
          <w:bCs/>
        </w:rPr>
        <w:t>abril</w:t>
      </w:r>
      <w:r w:rsidRPr="00680B61">
        <w:rPr>
          <w:bCs/>
        </w:rPr>
        <w:t xml:space="preserve"> de 20</w:t>
      </w:r>
      <w:r w:rsidR="00B454CD">
        <w:rPr>
          <w:bCs/>
        </w:rPr>
        <w:t>1</w:t>
      </w:r>
      <w:r w:rsidR="005B588D">
        <w:rPr>
          <w:bCs/>
        </w:rPr>
        <w:t>3</w:t>
      </w:r>
      <w:r w:rsidRPr="00680B61">
        <w:rPr>
          <w:bCs/>
        </w:rPr>
        <w:t>.</w:t>
      </w:r>
    </w:p>
    <w:p w:rsidR="00597C14" w:rsidRPr="00680B61" w:rsidRDefault="00597C14" w:rsidP="00F823AB">
      <w:pPr>
        <w:jc w:val="center"/>
        <w:rPr>
          <w:bCs/>
        </w:rPr>
      </w:pPr>
    </w:p>
    <w:p w:rsidR="00597C14" w:rsidRPr="00680B61" w:rsidRDefault="00597C14" w:rsidP="00F823AB">
      <w:pPr>
        <w:jc w:val="center"/>
        <w:rPr>
          <w:bCs/>
        </w:rPr>
      </w:pPr>
    </w:p>
    <w:p w:rsidR="00597C14" w:rsidRPr="00680B61" w:rsidRDefault="00353435" w:rsidP="00F823AB">
      <w:pPr>
        <w:jc w:val="center"/>
        <w:rPr>
          <w:b/>
          <w:bCs/>
          <w:i/>
        </w:rPr>
      </w:pPr>
      <w:r>
        <w:rPr>
          <w:b/>
          <w:bCs/>
          <w:i/>
        </w:rPr>
        <w:t>Oldênia Fonseca Guerra</w:t>
      </w:r>
    </w:p>
    <w:p w:rsidR="00597C14" w:rsidRPr="00680B61" w:rsidRDefault="00E76447" w:rsidP="00F823AB">
      <w:pPr>
        <w:jc w:val="center"/>
        <w:rPr>
          <w:b/>
          <w:bCs/>
          <w:i/>
        </w:rPr>
      </w:pPr>
      <w:r>
        <w:rPr>
          <w:b/>
          <w:bCs/>
          <w:i/>
        </w:rPr>
        <w:t>Diretor</w:t>
      </w:r>
      <w:r w:rsidR="00353435">
        <w:rPr>
          <w:b/>
          <w:bCs/>
          <w:i/>
        </w:rPr>
        <w:t>a</w:t>
      </w:r>
      <w:r w:rsidR="005B588D">
        <w:rPr>
          <w:b/>
          <w:bCs/>
          <w:i/>
        </w:rPr>
        <w:t xml:space="preserve"> - CT</w:t>
      </w:r>
      <w:r w:rsidR="00597C14" w:rsidRPr="00680B61">
        <w:rPr>
          <w:b/>
          <w:bCs/>
          <w:i/>
        </w:rPr>
        <w:t>BJ</w:t>
      </w:r>
    </w:p>
    <w:sectPr w:rsidR="00597C14" w:rsidRPr="00680B61" w:rsidSect="00EE4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73" w:rsidRDefault="00370C73" w:rsidP="000C2C3F">
      <w:r>
        <w:separator/>
      </w:r>
    </w:p>
  </w:endnote>
  <w:endnote w:type="continuationSeparator" w:id="1">
    <w:p w:rsidR="00370C73" w:rsidRDefault="00370C73" w:rsidP="000C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3F" w:rsidRDefault="000C2C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3F" w:rsidRDefault="000C2C3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3F" w:rsidRDefault="000C2C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73" w:rsidRDefault="00370C73" w:rsidP="000C2C3F">
      <w:r>
        <w:separator/>
      </w:r>
    </w:p>
  </w:footnote>
  <w:footnote w:type="continuationSeparator" w:id="1">
    <w:p w:rsidR="00370C73" w:rsidRDefault="00370C73" w:rsidP="000C2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3F" w:rsidRDefault="000C2C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3F" w:rsidRDefault="000C2C3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3F" w:rsidRDefault="000C2C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F30"/>
    <w:rsid w:val="00003AB8"/>
    <w:rsid w:val="00007BD4"/>
    <w:rsid w:val="0005305C"/>
    <w:rsid w:val="000717BB"/>
    <w:rsid w:val="00074A89"/>
    <w:rsid w:val="000A63F4"/>
    <w:rsid w:val="000A749C"/>
    <w:rsid w:val="000B0E06"/>
    <w:rsid w:val="000B45AD"/>
    <w:rsid w:val="000C2C3F"/>
    <w:rsid w:val="000D5001"/>
    <w:rsid w:val="000F3B18"/>
    <w:rsid w:val="000F7642"/>
    <w:rsid w:val="0010348F"/>
    <w:rsid w:val="001065DA"/>
    <w:rsid w:val="001231A1"/>
    <w:rsid w:val="00123FAB"/>
    <w:rsid w:val="00132215"/>
    <w:rsid w:val="001442AE"/>
    <w:rsid w:val="001831A5"/>
    <w:rsid w:val="00183BE0"/>
    <w:rsid w:val="00194411"/>
    <w:rsid w:val="001978BC"/>
    <w:rsid w:val="001F6E1D"/>
    <w:rsid w:val="00207D37"/>
    <w:rsid w:val="00214E1E"/>
    <w:rsid w:val="00215C21"/>
    <w:rsid w:val="002166F5"/>
    <w:rsid w:val="00225ED7"/>
    <w:rsid w:val="002372F9"/>
    <w:rsid w:val="00260DFD"/>
    <w:rsid w:val="00276979"/>
    <w:rsid w:val="00280AB9"/>
    <w:rsid w:val="00297557"/>
    <w:rsid w:val="002B647A"/>
    <w:rsid w:val="002E3E6B"/>
    <w:rsid w:val="00316BFE"/>
    <w:rsid w:val="00323B8D"/>
    <w:rsid w:val="00327FF1"/>
    <w:rsid w:val="0033205B"/>
    <w:rsid w:val="00352896"/>
    <w:rsid w:val="00353435"/>
    <w:rsid w:val="00363209"/>
    <w:rsid w:val="00370C73"/>
    <w:rsid w:val="003844B5"/>
    <w:rsid w:val="0039082A"/>
    <w:rsid w:val="003A170D"/>
    <w:rsid w:val="003A6048"/>
    <w:rsid w:val="003C0E20"/>
    <w:rsid w:val="003E3942"/>
    <w:rsid w:val="003F4AE5"/>
    <w:rsid w:val="003F7103"/>
    <w:rsid w:val="004220D7"/>
    <w:rsid w:val="00424D35"/>
    <w:rsid w:val="00427839"/>
    <w:rsid w:val="00453D64"/>
    <w:rsid w:val="0047295D"/>
    <w:rsid w:val="0047623A"/>
    <w:rsid w:val="004D17A9"/>
    <w:rsid w:val="004F57A5"/>
    <w:rsid w:val="00503DC3"/>
    <w:rsid w:val="005065D6"/>
    <w:rsid w:val="00522463"/>
    <w:rsid w:val="00533C4F"/>
    <w:rsid w:val="005857E5"/>
    <w:rsid w:val="0059405D"/>
    <w:rsid w:val="00597C14"/>
    <w:rsid w:val="005B588D"/>
    <w:rsid w:val="00602C10"/>
    <w:rsid w:val="006243EA"/>
    <w:rsid w:val="00672034"/>
    <w:rsid w:val="00680B61"/>
    <w:rsid w:val="0068230F"/>
    <w:rsid w:val="00693A7D"/>
    <w:rsid w:val="006A755F"/>
    <w:rsid w:val="006F5AC8"/>
    <w:rsid w:val="0070192D"/>
    <w:rsid w:val="00740E73"/>
    <w:rsid w:val="007740C8"/>
    <w:rsid w:val="007D6904"/>
    <w:rsid w:val="007E0BCE"/>
    <w:rsid w:val="007E6DC5"/>
    <w:rsid w:val="007E7949"/>
    <w:rsid w:val="007F6E0D"/>
    <w:rsid w:val="008060CB"/>
    <w:rsid w:val="00825AA2"/>
    <w:rsid w:val="008349A6"/>
    <w:rsid w:val="008B36E2"/>
    <w:rsid w:val="008B49FE"/>
    <w:rsid w:val="008D2043"/>
    <w:rsid w:val="00916F30"/>
    <w:rsid w:val="0091701C"/>
    <w:rsid w:val="00924452"/>
    <w:rsid w:val="009302D8"/>
    <w:rsid w:val="00932682"/>
    <w:rsid w:val="00941BF2"/>
    <w:rsid w:val="009A6E06"/>
    <w:rsid w:val="009B36A8"/>
    <w:rsid w:val="009B74F5"/>
    <w:rsid w:val="009E275C"/>
    <w:rsid w:val="009F78E3"/>
    <w:rsid w:val="00A12021"/>
    <w:rsid w:val="00A12980"/>
    <w:rsid w:val="00A25015"/>
    <w:rsid w:val="00A37635"/>
    <w:rsid w:val="00A45824"/>
    <w:rsid w:val="00A52308"/>
    <w:rsid w:val="00A5415E"/>
    <w:rsid w:val="00A57C41"/>
    <w:rsid w:val="00A844A2"/>
    <w:rsid w:val="00A86358"/>
    <w:rsid w:val="00A95897"/>
    <w:rsid w:val="00A95AA7"/>
    <w:rsid w:val="00AA2FA1"/>
    <w:rsid w:val="00AF41FF"/>
    <w:rsid w:val="00B31190"/>
    <w:rsid w:val="00B330F3"/>
    <w:rsid w:val="00B44092"/>
    <w:rsid w:val="00B454CD"/>
    <w:rsid w:val="00B64F04"/>
    <w:rsid w:val="00B82D4E"/>
    <w:rsid w:val="00B863E8"/>
    <w:rsid w:val="00B907C0"/>
    <w:rsid w:val="00B95833"/>
    <w:rsid w:val="00BA21F9"/>
    <w:rsid w:val="00C01F11"/>
    <w:rsid w:val="00C27577"/>
    <w:rsid w:val="00C2796B"/>
    <w:rsid w:val="00C3360D"/>
    <w:rsid w:val="00C40018"/>
    <w:rsid w:val="00C568CC"/>
    <w:rsid w:val="00C60DAC"/>
    <w:rsid w:val="00C730E4"/>
    <w:rsid w:val="00C925AC"/>
    <w:rsid w:val="00CA4090"/>
    <w:rsid w:val="00CA433E"/>
    <w:rsid w:val="00CD461A"/>
    <w:rsid w:val="00CE04D0"/>
    <w:rsid w:val="00CE1601"/>
    <w:rsid w:val="00D171FA"/>
    <w:rsid w:val="00D30EB1"/>
    <w:rsid w:val="00D37147"/>
    <w:rsid w:val="00D44DD8"/>
    <w:rsid w:val="00D507DD"/>
    <w:rsid w:val="00D626A9"/>
    <w:rsid w:val="00D62F3F"/>
    <w:rsid w:val="00D863D5"/>
    <w:rsid w:val="00D96DB5"/>
    <w:rsid w:val="00D97D5E"/>
    <w:rsid w:val="00DA4A75"/>
    <w:rsid w:val="00DB0228"/>
    <w:rsid w:val="00DC3A70"/>
    <w:rsid w:val="00DE7A5A"/>
    <w:rsid w:val="00DF2757"/>
    <w:rsid w:val="00E05406"/>
    <w:rsid w:val="00E06D6D"/>
    <w:rsid w:val="00E101B9"/>
    <w:rsid w:val="00E15E9A"/>
    <w:rsid w:val="00E24A9B"/>
    <w:rsid w:val="00E338FC"/>
    <w:rsid w:val="00E42E7B"/>
    <w:rsid w:val="00E44768"/>
    <w:rsid w:val="00E50C19"/>
    <w:rsid w:val="00E531B3"/>
    <w:rsid w:val="00E71672"/>
    <w:rsid w:val="00E76447"/>
    <w:rsid w:val="00E8247D"/>
    <w:rsid w:val="00E82B17"/>
    <w:rsid w:val="00E9080D"/>
    <w:rsid w:val="00EA2ED5"/>
    <w:rsid w:val="00EB5558"/>
    <w:rsid w:val="00EB5A53"/>
    <w:rsid w:val="00EC0307"/>
    <w:rsid w:val="00EC7DF3"/>
    <w:rsid w:val="00EE40A2"/>
    <w:rsid w:val="00F134A2"/>
    <w:rsid w:val="00F50F19"/>
    <w:rsid w:val="00F67A1C"/>
    <w:rsid w:val="00F823AB"/>
    <w:rsid w:val="00F84055"/>
    <w:rsid w:val="00F8753C"/>
    <w:rsid w:val="00F973FE"/>
    <w:rsid w:val="00FC630C"/>
    <w:rsid w:val="00FC77D6"/>
    <w:rsid w:val="00FC7D9A"/>
    <w:rsid w:val="00FE4A8B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F30"/>
    <w:rPr>
      <w:sz w:val="24"/>
      <w:szCs w:val="24"/>
    </w:rPr>
  </w:style>
  <w:style w:type="paragraph" w:styleId="Ttulo1">
    <w:name w:val="heading 1"/>
    <w:basedOn w:val="Normal"/>
    <w:next w:val="Normal"/>
    <w:qFormat/>
    <w:rsid w:val="00916F3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16F30"/>
    <w:pPr>
      <w:jc w:val="center"/>
    </w:pPr>
    <w:rPr>
      <w:b/>
      <w:bCs/>
      <w:sz w:val="28"/>
    </w:rPr>
  </w:style>
  <w:style w:type="table" w:styleId="Tabelacomgrade">
    <w:name w:val="Table Grid"/>
    <w:basedOn w:val="Tabelanormal"/>
    <w:rsid w:val="006F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311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194411"/>
    <w:rPr>
      <w:color w:val="0000FF"/>
      <w:u w:val="single"/>
    </w:rPr>
  </w:style>
  <w:style w:type="paragraph" w:styleId="Cabealho">
    <w:name w:val="header"/>
    <w:basedOn w:val="Normal"/>
    <w:link w:val="CabealhoChar"/>
    <w:rsid w:val="000C2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2C3F"/>
    <w:rPr>
      <w:sz w:val="24"/>
      <w:szCs w:val="24"/>
    </w:rPr>
  </w:style>
  <w:style w:type="paragraph" w:styleId="Rodap">
    <w:name w:val="footer"/>
    <w:basedOn w:val="Normal"/>
    <w:link w:val="RodapChar"/>
    <w:rsid w:val="000C2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2C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universidade federal do piaui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UFPI</dc:creator>
  <cp:lastModifiedBy>JUNIOR</cp:lastModifiedBy>
  <cp:revision>13</cp:revision>
  <cp:lastPrinted>2013-04-09T13:58:00Z</cp:lastPrinted>
  <dcterms:created xsi:type="dcterms:W3CDTF">2013-04-08T11:34:00Z</dcterms:created>
  <dcterms:modified xsi:type="dcterms:W3CDTF">2013-04-09T13:58:00Z</dcterms:modified>
</cp:coreProperties>
</file>